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F1930BA"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D20676">
        <w:rPr>
          <w:rFonts w:asciiTheme="minorHAnsi" w:hAnsiTheme="minorHAnsi" w:cstheme="minorHAnsi"/>
          <w:b/>
          <w:bCs/>
          <w:szCs w:val="19"/>
          <w:lang w:val="de-DE"/>
        </w:rPr>
        <w:t>23. Januar</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40A91E7D" w14:textId="77777777" w:rsidR="00D20676" w:rsidRPr="00D20676" w:rsidRDefault="00D20676" w:rsidP="00D20676">
      <w:pPr>
        <w:spacing w:line="276" w:lineRule="auto"/>
        <w:rPr>
          <w:rFonts w:asciiTheme="majorHAnsi" w:eastAsiaTheme="minorEastAsia" w:hAnsiTheme="majorHAnsi" w:cstheme="majorHAnsi"/>
          <w:b/>
          <w:bCs/>
          <w:sz w:val="20"/>
          <w:szCs w:val="20"/>
          <w:shd w:val="clear" w:color="auto" w:fill="FFFFFF"/>
          <w:lang w:val="de-DE" w:eastAsia="zh-CN"/>
        </w:rPr>
      </w:pPr>
      <w:r w:rsidRPr="00D20676">
        <w:rPr>
          <w:rFonts w:asciiTheme="majorHAnsi" w:eastAsiaTheme="minorEastAsia" w:hAnsiTheme="majorHAnsi" w:cstheme="majorHAnsi"/>
          <w:b/>
          <w:sz w:val="20"/>
          <w:szCs w:val="20"/>
          <w:shd w:val="clear" w:color="auto" w:fill="FFFFFF"/>
          <w:lang w:val="de-DE" w:eastAsia="zh-CN" w:bidi="de-DE"/>
        </w:rPr>
        <w:t xml:space="preserve">Mit wegweisenden Innovationen verbessert BOBST die Effizienz und Produktivität der EXPERTCUT 106 PER </w:t>
      </w:r>
    </w:p>
    <w:p w14:paraId="33037255" w14:textId="77777777" w:rsidR="00D20676" w:rsidRPr="00D20676" w:rsidRDefault="00D20676" w:rsidP="00D20676">
      <w:pPr>
        <w:spacing w:line="276" w:lineRule="auto"/>
        <w:rPr>
          <w:rFonts w:asciiTheme="majorHAnsi" w:eastAsiaTheme="minorEastAsia" w:hAnsiTheme="majorHAnsi" w:cstheme="majorHAnsi"/>
          <w:b/>
          <w:bCs/>
          <w:sz w:val="20"/>
          <w:szCs w:val="20"/>
          <w:lang w:val="de-DE" w:eastAsia="zh-CN"/>
        </w:rPr>
      </w:pPr>
    </w:p>
    <w:p w14:paraId="26460750" w14:textId="77777777" w:rsidR="00D20676" w:rsidRPr="00D20676" w:rsidRDefault="00D20676" w:rsidP="00D20676">
      <w:pPr>
        <w:spacing w:line="276" w:lineRule="auto"/>
        <w:rPr>
          <w:rFonts w:asciiTheme="majorHAnsi" w:eastAsiaTheme="minorEastAsia" w:hAnsiTheme="majorHAnsi" w:cstheme="majorHAnsi"/>
          <w:b/>
          <w:bCs/>
          <w:sz w:val="20"/>
          <w:szCs w:val="20"/>
          <w:shd w:val="clear" w:color="auto" w:fill="FFFFFF"/>
          <w:lang w:val="de-DE" w:eastAsia="zh-CN"/>
        </w:rPr>
      </w:pPr>
      <w:r w:rsidRPr="00D20676">
        <w:rPr>
          <w:rFonts w:asciiTheme="majorHAnsi" w:eastAsiaTheme="minorEastAsia" w:hAnsiTheme="majorHAnsi" w:cstheme="majorHAnsi"/>
          <w:b/>
          <w:sz w:val="20"/>
          <w:szCs w:val="20"/>
          <w:shd w:val="clear" w:color="auto" w:fill="FFFFFF"/>
          <w:lang w:val="de-DE" w:eastAsia="zh-CN" w:bidi="de-DE"/>
        </w:rPr>
        <w:t xml:space="preserve">Seit BOBST seine EXPERTCUT 106 PER mit zwei einzigartigen neuen Leistungsmerkmalen ausgestattet hat, können Kunden des weltweit führenden Anbieters von Maschinen für den Verpackungsdruck und die Verpackungsherstellung im Zurichten pro Auftrag bis zu 15 Minuten Zeit sparen. Gleichzeitig wird der Kartonverbrauch in der Faltschachtelproduktion verringert. </w:t>
      </w:r>
    </w:p>
    <w:p w14:paraId="67935922" w14:textId="77777777" w:rsidR="00D20676" w:rsidRPr="00D20676" w:rsidRDefault="00D20676" w:rsidP="00D20676">
      <w:pPr>
        <w:spacing w:line="276" w:lineRule="auto"/>
        <w:rPr>
          <w:rFonts w:asciiTheme="majorHAnsi" w:eastAsiaTheme="minorEastAsia" w:hAnsiTheme="majorHAnsi" w:cstheme="majorHAnsi"/>
          <w:b/>
          <w:bCs/>
          <w:sz w:val="20"/>
          <w:szCs w:val="20"/>
          <w:shd w:val="clear" w:color="auto" w:fill="FFFFFF"/>
          <w:lang w:val="de-DE" w:eastAsia="zh-CN"/>
        </w:rPr>
      </w:pPr>
    </w:p>
    <w:p w14:paraId="1ACF5BB9" w14:textId="446F3300" w:rsidR="00D20676" w:rsidRPr="00D20676" w:rsidRDefault="00D20676" w:rsidP="00D20676">
      <w:pPr>
        <w:spacing w:line="276" w:lineRule="auto"/>
        <w:rPr>
          <w:rFonts w:asciiTheme="majorHAnsi" w:eastAsiaTheme="minorEastAsia" w:hAnsiTheme="majorHAnsi" w:cstheme="majorHAnsi"/>
          <w:sz w:val="20"/>
          <w:szCs w:val="20"/>
          <w:shd w:val="clear" w:color="auto" w:fill="FFFFFF"/>
          <w:lang w:val="de-DE" w:eastAsia="zh-CN"/>
        </w:rPr>
      </w:pPr>
      <w:r w:rsidRPr="00D20676">
        <w:rPr>
          <w:rFonts w:asciiTheme="majorHAnsi" w:eastAsiaTheme="minorEastAsia" w:hAnsiTheme="majorHAnsi" w:cstheme="majorHAnsi"/>
          <w:sz w:val="20"/>
          <w:szCs w:val="20"/>
          <w:shd w:val="clear" w:color="auto" w:fill="FFFFFF"/>
          <w:lang w:val="de-DE" w:eastAsia="zh-CN" w:bidi="de-DE"/>
        </w:rPr>
        <w:t xml:space="preserve">Entwickelt wurden diese Innovationen für die Flachbettstanze mit dem Ziel, Verpackungsherstellern kürzere Rüstzeiten und Ressourcen-Einsparungen zu ermöglichen. So optimieren die neuen Leistungsmerkmale die Handhabung der Stanzwerkzeuge in der Maschine. Zudem bieten sie in der Bogenregistrierung neue Möglichkeiten. Zum Beispiel minimieren bzw. kompensieren der neue ACCUPLATEN-Tiegel der Maschine und die ebenfalls neue ZERO PATCHING-Platte die Verformungen der Stanzformen, während das neue Registersystem POWER REGISTER Plus den Materialabfall weiter reduziert.  </w:t>
      </w:r>
    </w:p>
    <w:p w14:paraId="1FFE910A" w14:textId="77777777" w:rsidR="00D20676" w:rsidRPr="00D20676" w:rsidRDefault="00D20676" w:rsidP="00D20676">
      <w:pPr>
        <w:spacing w:line="276" w:lineRule="auto"/>
        <w:rPr>
          <w:rFonts w:asciiTheme="majorHAnsi" w:eastAsiaTheme="minorEastAsia" w:hAnsiTheme="majorHAnsi" w:cstheme="majorHAnsi"/>
          <w:sz w:val="20"/>
          <w:szCs w:val="20"/>
          <w:shd w:val="clear" w:color="auto" w:fill="FFFFFF"/>
          <w:lang w:val="de-DE" w:eastAsia="zh-CN"/>
        </w:rPr>
      </w:pPr>
    </w:p>
    <w:p w14:paraId="040EF564" w14:textId="77777777" w:rsidR="00D20676" w:rsidRPr="00D20676" w:rsidRDefault="00D20676" w:rsidP="00D20676">
      <w:pPr>
        <w:spacing w:line="276" w:lineRule="auto"/>
        <w:rPr>
          <w:rFonts w:asciiTheme="majorHAnsi" w:eastAsiaTheme="minorEastAsia" w:hAnsiTheme="majorHAnsi" w:cstheme="majorHAnsi"/>
          <w:sz w:val="20"/>
          <w:szCs w:val="20"/>
          <w:lang w:val="de-DE" w:eastAsia="zh-CN"/>
        </w:rPr>
      </w:pPr>
      <w:r w:rsidRPr="00D20676">
        <w:rPr>
          <w:rFonts w:asciiTheme="majorHAnsi" w:eastAsiaTheme="minorEastAsia" w:hAnsiTheme="majorHAnsi" w:cstheme="majorHAnsi"/>
          <w:sz w:val="20"/>
          <w:szCs w:val="20"/>
          <w:lang w:val="de-DE" w:eastAsia="zh-CN" w:bidi="de-DE"/>
        </w:rPr>
        <w:t>Bereits mit dem SPEED CHANGE-Set hatte BOBST die Rüstzeiten seiner Flachbettstanzen für die Faltschachtelherstellung um 15 Minuten verkürzt. Darüber hinaus wartet das zusätzlich optional verfügbare Energy Efficiency Pack mit einer Reihe technischer Innovationen auf, mit denen die EXPERTCUT 106 PER in Sachen Produktionseffizienz einen neuen Standard setzt.</w:t>
      </w:r>
    </w:p>
    <w:p w14:paraId="4CE8BF1D" w14:textId="77777777" w:rsidR="00D20676" w:rsidRPr="00D20676" w:rsidRDefault="00D20676" w:rsidP="00D20676">
      <w:pPr>
        <w:spacing w:line="276" w:lineRule="auto"/>
        <w:rPr>
          <w:rFonts w:asciiTheme="majorHAnsi" w:eastAsiaTheme="minorEastAsia" w:hAnsiTheme="majorHAnsi" w:cstheme="majorHAnsi"/>
          <w:sz w:val="20"/>
          <w:szCs w:val="20"/>
          <w:lang w:val="de-DE" w:eastAsia="zh-CN"/>
        </w:rPr>
      </w:pPr>
    </w:p>
    <w:p w14:paraId="17F8A7CF"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b/>
          <w:bCs/>
          <w:sz w:val="20"/>
          <w:szCs w:val="20"/>
          <w:lang w:val="de-DE" w:eastAsia="zh-CN"/>
        </w:rPr>
      </w:pPr>
      <w:r w:rsidRPr="00D20676">
        <w:rPr>
          <w:rFonts w:asciiTheme="majorHAnsi" w:eastAsiaTheme="minorEastAsia" w:hAnsiTheme="majorHAnsi" w:cstheme="majorHAnsi"/>
          <w:b/>
          <w:sz w:val="20"/>
          <w:szCs w:val="20"/>
          <w:lang w:val="de-DE" w:eastAsia="zh-CN" w:bidi="de-DE"/>
        </w:rPr>
        <w:t xml:space="preserve">ACCUPLATEN und </w:t>
      </w:r>
      <w:r w:rsidRPr="00D20676">
        <w:rPr>
          <w:rFonts w:asciiTheme="majorHAnsi" w:eastAsiaTheme="minorEastAsia" w:hAnsiTheme="majorHAnsi" w:cstheme="majorHAnsi"/>
          <w:b/>
          <w:sz w:val="20"/>
          <w:szCs w:val="20"/>
          <w:shd w:val="clear" w:color="auto" w:fill="FFFFFF"/>
          <w:lang w:val="de-DE" w:eastAsia="zh-CN" w:bidi="de-DE"/>
        </w:rPr>
        <w:t>ZERO PATCHING</w:t>
      </w:r>
      <w:r w:rsidRPr="00D20676">
        <w:rPr>
          <w:rFonts w:asciiTheme="majorHAnsi" w:eastAsiaTheme="minorEastAsia" w:hAnsiTheme="majorHAnsi" w:cstheme="majorHAnsi"/>
          <w:b/>
          <w:sz w:val="20"/>
          <w:szCs w:val="20"/>
          <w:lang w:val="de-DE" w:eastAsia="zh-CN" w:bidi="de-DE"/>
        </w:rPr>
        <w:t xml:space="preserve"> für eine nochmals höhere Verfügbarkeit </w:t>
      </w:r>
    </w:p>
    <w:p w14:paraId="394A75BC"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r w:rsidRPr="00D20676">
        <w:rPr>
          <w:rFonts w:asciiTheme="majorHAnsi" w:eastAsiaTheme="minorEastAsia" w:hAnsiTheme="majorHAnsi" w:cstheme="majorHAnsi"/>
          <w:sz w:val="20"/>
          <w:szCs w:val="20"/>
          <w:lang w:val="de-DE" w:eastAsia="zh-CN" w:bidi="de-DE"/>
        </w:rPr>
        <w:t xml:space="preserve">Auf der drupa 2024 präsentierte BOBST mit ACCUPLATEN eine  Weltpremiere für das Flachbettstanzen. „Der neu gestaltete Tiegel der Maschine ist eine wegweisende Innovation“, erklärt Bodo Junge, als Product Marketing Director verantwortlich für die Stanzen des Unternehmens. „Mit ACCUPLATEN ist es BOBST gelungen, die Verformungen der Stanzformen zu minimieren und den Zurichteaufwand um bis zu 80 % zu verringern. Die Vorteile heißen weniger Bedienereingriffe, längere Lebensdauer der Werkzeuge und pro Auftrag eine etwa 15 Minuten höhere Verfügbarkeit der Maschine.“ ACCUPLATEN ist ausschließlich für neue Maschinen verfügbar. Deshalb bietet BOBST für Maschinen früherer Generationen und für Verpackungshersteller, die eine Lösung für spezielle Aufträge suchen, die </w:t>
      </w:r>
      <w:r w:rsidRPr="00D20676">
        <w:rPr>
          <w:rFonts w:asciiTheme="majorHAnsi" w:eastAsiaTheme="minorEastAsia" w:hAnsiTheme="majorHAnsi" w:cstheme="majorHAnsi"/>
          <w:sz w:val="20"/>
          <w:szCs w:val="20"/>
          <w:shd w:val="clear" w:color="auto" w:fill="FFFFFF"/>
          <w:lang w:val="de-DE" w:eastAsia="zh-CN" w:bidi="de-DE"/>
        </w:rPr>
        <w:t>ZERO PATCHING</w:t>
      </w:r>
      <w:r w:rsidRPr="00D20676">
        <w:rPr>
          <w:rFonts w:asciiTheme="majorHAnsi" w:eastAsiaTheme="minorEastAsia" w:hAnsiTheme="majorHAnsi" w:cstheme="majorHAnsi"/>
          <w:sz w:val="20"/>
          <w:szCs w:val="20"/>
          <w:lang w:val="de-DE" w:eastAsia="zh-CN" w:bidi="de-DE"/>
        </w:rPr>
        <w:t>-Platte an.   Diese Platte gleicht die - je nach Stanzdruck - maschinenspezifischen Verformungen der Stanzformen aus. Damit verringert auch sie den Zeitaufwand im Zurichten um 50 % bis 80 %. Bei beiden Lösungen werden für das Einrichten der Qualitätskontrolle weniger Bogen benötigt. Gleichzeitig wird die Stanz- und Rillqualität verbessert, so dass sich die Zuschnitte später leichter weiterverarbeiten lassen.</w:t>
      </w:r>
    </w:p>
    <w:p w14:paraId="78937659"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p>
    <w:p w14:paraId="4C30385B"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b/>
          <w:bCs/>
          <w:sz w:val="20"/>
          <w:szCs w:val="20"/>
          <w:lang w:val="de-DE" w:eastAsia="zh-CN"/>
        </w:rPr>
      </w:pPr>
      <w:r w:rsidRPr="00D20676">
        <w:rPr>
          <w:rFonts w:asciiTheme="majorHAnsi" w:eastAsiaTheme="minorEastAsia" w:hAnsiTheme="majorHAnsi" w:cstheme="majorHAnsi"/>
          <w:b/>
          <w:sz w:val="20"/>
          <w:szCs w:val="20"/>
          <w:lang w:val="de-DE" w:eastAsia="zh-CN" w:bidi="de-DE"/>
        </w:rPr>
        <w:t>Verbesserte Kosteneffizienz und Nachhaltigkeit mit dem POWER REGISTER Plus</w:t>
      </w:r>
    </w:p>
    <w:p w14:paraId="70EED6FE"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r w:rsidRPr="00D20676">
        <w:rPr>
          <w:rFonts w:asciiTheme="majorHAnsi" w:eastAsiaTheme="minorEastAsia" w:hAnsiTheme="majorHAnsi" w:cstheme="majorHAnsi"/>
          <w:sz w:val="20"/>
          <w:szCs w:val="20"/>
          <w:lang w:val="de-DE" w:eastAsia="zh-CN" w:bidi="de-DE"/>
        </w:rPr>
        <w:t xml:space="preserve">Soll unnötiger Abfall vermieden werden, müssen Rüstprozesse vereinfacht und der Fokus auf die Qualität gelegt werden. Zeit und hochwertige Kartonbogen sind kostbare Ressourcen, die wesentlichen Einfluss auf die Rentabilität der Verpackungsherstellung haben.  Deshalb legte BOBST in der Weiterentwicklung dieser Maschine einen Schwerpunkt auf die Verringerung des Bogenabfalls. So erweiterte das </w:t>
      </w:r>
      <w:r w:rsidRPr="00D20676">
        <w:rPr>
          <w:rFonts w:asciiTheme="majorHAnsi" w:eastAsiaTheme="minorEastAsia" w:hAnsiTheme="majorHAnsi" w:cstheme="majorHAnsi"/>
          <w:sz w:val="20"/>
          <w:szCs w:val="20"/>
          <w:lang w:val="de-DE" w:eastAsia="zh-CN" w:bidi="de-DE"/>
        </w:rPr>
        <w:lastRenderedPageBreak/>
        <w:t xml:space="preserve">Unternehmen bei dem neuen POWER REGISTER Plus die Möglichkeiten in der Erkennung von Registermarken: Das neue Registersystem liest zuverlässig auch sehr kleine Registermarken an den Bogenseiten. Im Ergebnis kann der Kartonverbrauch an den vorderen Registermarken um bis zu 4 mm verringert werden, womit sich bis zu 0,5 % der Kartonkosten einsparen lassen. „Das scheint zunächst nicht viel zu sein. Doch je nach Layout der Verpackungen, Größe der Registermarken und Grammatur der Bogen kann das neue System pro 1 Million Bogen bis zu 1 Tonne Karton einsparen helfen“, rechnet Junge vor. „Weniger Abfall bedeutet auch weniger Zeitaufwand und Mühe, ihn zu beseitigen. Zudem kommt das der Nachhaltigkeit des Prozesses und des Arbeitsplatzes zugute.“ </w:t>
      </w:r>
    </w:p>
    <w:p w14:paraId="15BAC99C"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p>
    <w:p w14:paraId="39D5188D"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r w:rsidRPr="00D20676">
        <w:rPr>
          <w:rFonts w:asciiTheme="majorHAnsi" w:eastAsiaTheme="minorEastAsia" w:hAnsiTheme="majorHAnsi" w:cstheme="majorHAnsi"/>
          <w:sz w:val="20"/>
          <w:szCs w:val="20"/>
          <w:lang w:val="de-DE" w:eastAsia="zh-CN" w:bidi="de-DE"/>
        </w:rPr>
        <w:t>Verpackungshersteller, die nach höherer Kosteneffizienz und mehr Nachhaltigkeit streben, können auch das Energy Efficiency Pack wählen. Es umfasst energieeffiziente Luftpumpen und ein System für die Energierückgewinnung (Energy Recovery System), das die kinetische Bremsenergie der Maschine in Strom umwandelt. Zudem enthält das Paket ein neu entwickeltes Bernoulli-Luftstromsystem mit höherer Leistungsfähigkeit sowie verringertem Energie- und Luftverbrauch. Diese Leistungsmerkmale senken den Energieverbrauch pro 1.000 Bogen von 5 kWh auf 4 kWh - was einer Summe von 1 MWh pro 1 Million Bogen entspricht. Darüber hinaus zeigt das Energy Monitoring auf der Mensch-Maschine-Schnittstelle anhand von Indikatoren zusätzliche Möglichkeiten für Energieeinsparungen auf. Auch mit ihrer Hilfe können die Kosten reduziert und Nachhaltigkeitsziele unterstützt werden.</w:t>
      </w:r>
    </w:p>
    <w:p w14:paraId="3F1B9983" w14:textId="77777777" w:rsidR="00D20676" w:rsidRPr="00D20676" w:rsidRDefault="00D20676" w:rsidP="00D20676">
      <w:pPr>
        <w:spacing w:line="276" w:lineRule="auto"/>
        <w:rPr>
          <w:rFonts w:asciiTheme="majorHAnsi" w:eastAsiaTheme="minorEastAsia" w:hAnsiTheme="majorHAnsi" w:cstheme="majorHAnsi"/>
          <w:sz w:val="20"/>
          <w:szCs w:val="20"/>
          <w:lang w:val="de-DE" w:eastAsia="zh-CN"/>
        </w:rPr>
      </w:pPr>
    </w:p>
    <w:p w14:paraId="20DD0A96" w14:textId="77777777" w:rsidR="00D20676" w:rsidRPr="00D20676" w:rsidRDefault="00D20676" w:rsidP="00D20676">
      <w:pPr>
        <w:spacing w:line="276" w:lineRule="auto"/>
        <w:rPr>
          <w:rFonts w:asciiTheme="majorHAnsi" w:eastAsiaTheme="minorEastAsia" w:hAnsiTheme="majorHAnsi" w:cstheme="majorHAnsi"/>
          <w:b/>
          <w:bCs/>
          <w:sz w:val="20"/>
          <w:szCs w:val="20"/>
          <w:lang w:val="de-DE" w:eastAsia="zh-CN"/>
        </w:rPr>
      </w:pPr>
      <w:r w:rsidRPr="00D20676">
        <w:rPr>
          <w:rFonts w:asciiTheme="majorHAnsi" w:eastAsiaTheme="minorEastAsia" w:hAnsiTheme="majorHAnsi" w:cstheme="majorHAnsi"/>
          <w:b/>
          <w:sz w:val="20"/>
          <w:szCs w:val="20"/>
          <w:lang w:val="de-DE" w:eastAsia="zh-CN" w:bidi="de-DE"/>
        </w:rPr>
        <w:t xml:space="preserve">Mit 9.500 Bogen pro Stunde eine höhere Produktivität erreichen </w:t>
      </w:r>
    </w:p>
    <w:p w14:paraId="5AEBE7B8" w14:textId="77777777" w:rsidR="00D20676" w:rsidRPr="00D20676" w:rsidRDefault="00D20676" w:rsidP="00D20676">
      <w:pPr>
        <w:suppressAutoHyphens/>
        <w:autoSpaceDE w:val="0"/>
        <w:autoSpaceDN w:val="0"/>
        <w:adjustRightInd w:val="0"/>
        <w:spacing w:line="276" w:lineRule="auto"/>
        <w:textAlignment w:val="center"/>
        <w:rPr>
          <w:rFonts w:asciiTheme="majorHAnsi" w:eastAsiaTheme="minorEastAsia" w:hAnsiTheme="majorHAnsi" w:cstheme="majorHAnsi"/>
          <w:sz w:val="20"/>
          <w:szCs w:val="20"/>
          <w:lang w:val="de-DE" w:eastAsia="zh-CN"/>
        </w:rPr>
      </w:pPr>
      <w:r w:rsidRPr="00D20676">
        <w:rPr>
          <w:rFonts w:asciiTheme="majorHAnsi" w:eastAsiaTheme="minorEastAsia" w:hAnsiTheme="majorHAnsi" w:cstheme="majorHAnsi"/>
          <w:sz w:val="20"/>
          <w:szCs w:val="20"/>
          <w:lang w:val="de-DE" w:eastAsia="zh-CN" w:bidi="de-DE"/>
        </w:rPr>
        <w:t>Wie Kunden es erwarten, ist die EXPERTCUT 106 mit der Mensch-Maschine-Schnittstelle SPHERE von BOBST ausgestattet. Sie ist vollständig kompatibel mit den aktuellen und den künftigen Funktionen von BOBST Connect. Die Vernetzung von Werkzeugen, Maschinen, Verpackungsherstellern und Maschinenlieferanten über diese Cloud-basierte Plattform ermöglicht nahtlose Datenübertragungen. Gleichzeitig wird der gesamte Produktionsprozess über diese Plattform gesteuert.   Neben den digitalen Entwicklungen bleibt die kontinuierliche Verbesserung der Werkzeuge und der Möglichkeiten der Maschinen ein wichtiger Bestandteil der Innovationen, die auf eine fehlerfreie Produktion und maximale Produktivität abzielen. Ein Beispiel sind die neuen leichtgewichtigen Greiferstangen. Junge: „Diese EXPERTCUT 106 PER kann mit den neuen Greiferstangen aus Karbonfasern ausgestattet werden. Mit ihnen konnten wir die Trägheits- und Beschleunigungskräfte verringern und so die Produktionsgeschwindigkeit der Maschine von 9.000 auf 9.500 Bogen pro Stunde steigern.“</w:t>
      </w:r>
    </w:p>
    <w:p w14:paraId="272565C5" w14:textId="77777777" w:rsidR="00D20676" w:rsidRPr="00D20676" w:rsidRDefault="00D20676" w:rsidP="00D20676">
      <w:pPr>
        <w:spacing w:line="276" w:lineRule="auto"/>
        <w:textAlignment w:val="baseline"/>
        <w:rPr>
          <w:rFonts w:ascii="Segoe UI" w:hAnsi="Segoe UI" w:cs="Segoe UI"/>
          <w:sz w:val="20"/>
          <w:szCs w:val="20"/>
          <w:lang w:val="de-DE" w:eastAsia="fr-FR"/>
        </w:rPr>
      </w:pPr>
    </w:p>
    <w:p w14:paraId="60BE0DEE" w14:textId="0EC6304E" w:rsidR="00D20676" w:rsidRDefault="00276055" w:rsidP="00D20676">
      <w:pPr>
        <w:spacing w:line="276" w:lineRule="auto"/>
        <w:textAlignment w:val="baseline"/>
        <w:rPr>
          <w:rFonts w:asciiTheme="minorHAnsi" w:hAnsiTheme="minorHAnsi" w:cstheme="minorHAnsi"/>
          <w:b/>
          <w:bCs/>
          <w:sz w:val="20"/>
          <w:szCs w:val="20"/>
          <w:lang w:val="de-DE" w:eastAsia="fr-FR"/>
        </w:rPr>
      </w:pPr>
      <w:r w:rsidRPr="00276055">
        <w:rPr>
          <w:rFonts w:asciiTheme="minorHAnsi" w:hAnsiTheme="minorHAnsi" w:cstheme="minorHAnsi"/>
          <w:b/>
          <w:bCs/>
          <w:sz w:val="20"/>
          <w:szCs w:val="20"/>
          <w:lang w:val="de-DE" w:eastAsia="fr-FR"/>
        </w:rPr>
        <w:t xml:space="preserve">Bildunterschriften </w:t>
      </w:r>
    </w:p>
    <w:p w14:paraId="67063BCE" w14:textId="77777777" w:rsidR="00276055" w:rsidRPr="00D20676" w:rsidRDefault="00276055" w:rsidP="00D20676">
      <w:pPr>
        <w:spacing w:line="276" w:lineRule="auto"/>
        <w:textAlignment w:val="baseline"/>
        <w:rPr>
          <w:rFonts w:asciiTheme="minorHAnsi" w:hAnsiTheme="minorHAnsi" w:cstheme="minorHAnsi"/>
          <w:b/>
          <w:bCs/>
          <w:sz w:val="20"/>
          <w:szCs w:val="20"/>
          <w:lang w:val="de-DE" w:eastAsia="fr-FR"/>
        </w:rPr>
      </w:pPr>
    </w:p>
    <w:p w14:paraId="76295BB8" w14:textId="77777777" w:rsidR="00D20676" w:rsidRPr="00D20676" w:rsidRDefault="00D20676" w:rsidP="00D20676">
      <w:pPr>
        <w:spacing w:line="276" w:lineRule="auto"/>
        <w:textAlignment w:val="baseline"/>
        <w:rPr>
          <w:rFonts w:eastAsiaTheme="majorEastAsia" w:cs="Arial"/>
          <w:sz w:val="20"/>
          <w:szCs w:val="20"/>
          <w:lang w:val="en-US" w:eastAsia="fr-FR"/>
        </w:rPr>
      </w:pPr>
      <w:r w:rsidRPr="00D20676">
        <w:rPr>
          <w:rFonts w:eastAsiaTheme="majorEastAsia" w:cs="Arial"/>
          <w:sz w:val="20"/>
          <w:szCs w:val="20"/>
          <w:lang w:val="en-US" w:eastAsia="fr-FR" w:bidi="de-DE"/>
        </w:rPr>
        <w:t xml:space="preserve">((01_EXPERTCUT 106 </w:t>
      </w:r>
      <w:proofErr w:type="spellStart"/>
      <w:r w:rsidRPr="00D20676">
        <w:rPr>
          <w:rFonts w:eastAsiaTheme="majorEastAsia" w:cs="Arial"/>
          <w:sz w:val="20"/>
          <w:szCs w:val="20"/>
          <w:lang w:val="en-US" w:eastAsia="fr-FR" w:bidi="de-DE"/>
        </w:rPr>
        <w:t>PER_Overview</w:t>
      </w:r>
      <w:proofErr w:type="spellEnd"/>
      <w:r w:rsidRPr="00D20676">
        <w:rPr>
          <w:rFonts w:eastAsiaTheme="majorEastAsia" w:cs="Arial"/>
          <w:sz w:val="20"/>
          <w:szCs w:val="20"/>
          <w:lang w:val="en-US" w:eastAsia="fr-FR" w:bidi="de-DE"/>
        </w:rPr>
        <w:t>))  </w:t>
      </w:r>
      <w:r w:rsidRPr="00D20676">
        <w:rPr>
          <w:rFonts w:eastAsiaTheme="majorEastAsia" w:cs="Arial"/>
          <w:sz w:val="20"/>
          <w:szCs w:val="20"/>
          <w:lang w:val="en-US" w:eastAsia="fr-FR" w:bidi="de-DE"/>
        </w:rPr>
        <w:br/>
      </w:r>
      <w:r w:rsidRPr="00D20676">
        <w:rPr>
          <w:rFonts w:eastAsiaTheme="majorEastAsia" w:cs="Arial"/>
          <w:noProof/>
          <w:sz w:val="20"/>
          <w:szCs w:val="20"/>
          <w:lang w:val="en-US" w:eastAsia="fr-FR" w:bidi="de-DE"/>
        </w:rPr>
        <w:t>Die neue EXPERTCUT 106 PER</w:t>
      </w:r>
    </w:p>
    <w:p w14:paraId="2BB09024" w14:textId="77777777" w:rsidR="00D20676" w:rsidRPr="00D20676" w:rsidRDefault="00D20676" w:rsidP="00D20676">
      <w:pPr>
        <w:spacing w:line="276" w:lineRule="auto"/>
        <w:textAlignment w:val="baseline"/>
        <w:rPr>
          <w:rFonts w:eastAsiaTheme="majorEastAsia" w:cs="Arial"/>
          <w:sz w:val="20"/>
          <w:szCs w:val="20"/>
          <w:lang w:val="en-US" w:eastAsia="fr-FR"/>
        </w:rPr>
      </w:pPr>
    </w:p>
    <w:p w14:paraId="2F9676F1" w14:textId="77777777" w:rsidR="00D20676" w:rsidRPr="00D20676" w:rsidRDefault="00D20676" w:rsidP="00D20676">
      <w:pPr>
        <w:spacing w:line="276" w:lineRule="auto"/>
        <w:textAlignment w:val="baseline"/>
        <w:rPr>
          <w:rFonts w:eastAsiaTheme="majorEastAsia" w:cs="Arial"/>
          <w:sz w:val="20"/>
          <w:szCs w:val="20"/>
          <w:lang w:val="de-DE" w:eastAsia="fr-FR" w:bidi="de-DE"/>
        </w:rPr>
      </w:pPr>
      <w:r w:rsidRPr="00D20676">
        <w:rPr>
          <w:rFonts w:eastAsiaTheme="majorEastAsia" w:cs="Arial"/>
          <w:sz w:val="20"/>
          <w:szCs w:val="20"/>
          <w:lang w:val="de-DE" w:eastAsia="fr-FR" w:bidi="de-DE"/>
        </w:rPr>
        <w:t>((02_ EXPERTCUT 106 PER_ACCUPLATEN))</w:t>
      </w:r>
    </w:p>
    <w:p w14:paraId="3A5DC86E" w14:textId="77777777" w:rsidR="00D20676" w:rsidRPr="00D20676" w:rsidRDefault="00D20676" w:rsidP="00D20676">
      <w:pPr>
        <w:spacing w:line="276" w:lineRule="auto"/>
        <w:textAlignment w:val="baseline"/>
        <w:rPr>
          <w:rFonts w:eastAsiaTheme="majorEastAsia" w:cs="Arial"/>
          <w:sz w:val="20"/>
          <w:szCs w:val="20"/>
          <w:lang w:val="de-DE" w:eastAsia="fr-FR" w:bidi="de-DE"/>
        </w:rPr>
      </w:pPr>
      <w:r w:rsidRPr="00D20676">
        <w:rPr>
          <w:rFonts w:eastAsiaTheme="majorEastAsia" w:cs="Arial"/>
          <w:sz w:val="20"/>
          <w:szCs w:val="20"/>
          <w:lang w:val="de-DE" w:eastAsia="fr-FR" w:bidi="de-DE"/>
        </w:rPr>
        <w:t>Mit ACCUPLATEN kann der Zeitaufwand im Zurichten um bis zu 80 % verringert werden.</w:t>
      </w:r>
    </w:p>
    <w:p w14:paraId="3ADEE560" w14:textId="77777777" w:rsidR="00D20676" w:rsidRPr="00D20676" w:rsidRDefault="00D20676" w:rsidP="00D20676">
      <w:pPr>
        <w:spacing w:line="276" w:lineRule="auto"/>
        <w:textAlignment w:val="baseline"/>
        <w:rPr>
          <w:rFonts w:eastAsiaTheme="majorEastAsia" w:cs="Arial"/>
          <w:sz w:val="20"/>
          <w:szCs w:val="20"/>
          <w:lang w:val="de-DE" w:eastAsia="fr-FR" w:bidi="de-DE"/>
        </w:rPr>
      </w:pPr>
    </w:p>
    <w:p w14:paraId="14125D4F" w14:textId="77777777" w:rsidR="00D20676" w:rsidRPr="00D20676" w:rsidRDefault="00D20676" w:rsidP="00D20676">
      <w:pPr>
        <w:spacing w:line="276" w:lineRule="auto"/>
        <w:textAlignment w:val="baseline"/>
        <w:rPr>
          <w:rFonts w:eastAsiaTheme="majorEastAsia" w:cs="Arial"/>
          <w:sz w:val="20"/>
          <w:szCs w:val="20"/>
          <w:lang w:val="de-DE" w:eastAsia="fr-FR"/>
        </w:rPr>
      </w:pPr>
      <w:r w:rsidRPr="00D20676">
        <w:rPr>
          <w:rFonts w:eastAsiaTheme="majorEastAsia" w:cs="Arial"/>
          <w:sz w:val="20"/>
          <w:szCs w:val="20"/>
          <w:lang w:val="de-DE" w:eastAsia="fr-FR" w:bidi="de-DE"/>
        </w:rPr>
        <w:t>((03_ EXPERTCUT 106 PER_Registermarken)) </w:t>
      </w:r>
    </w:p>
    <w:p w14:paraId="1F92537A" w14:textId="77777777" w:rsidR="00D20676" w:rsidRPr="00D20676" w:rsidRDefault="00D20676" w:rsidP="00D20676">
      <w:pPr>
        <w:spacing w:line="276" w:lineRule="auto"/>
        <w:rPr>
          <w:rFonts w:asciiTheme="minorHAnsi" w:eastAsiaTheme="minorEastAsia" w:hAnsiTheme="minorHAnsi" w:cstheme="minorHAnsi"/>
          <w:sz w:val="20"/>
          <w:szCs w:val="20"/>
          <w:lang w:val="de-DE" w:eastAsia="zh-CN"/>
        </w:rPr>
      </w:pPr>
      <w:r w:rsidRPr="00D20676">
        <w:rPr>
          <w:rFonts w:asciiTheme="minorHAnsi" w:eastAsiaTheme="minorEastAsia" w:hAnsiTheme="minorHAnsi" w:cstheme="minorHAnsi"/>
          <w:sz w:val="20"/>
          <w:szCs w:val="20"/>
          <w:lang w:val="de-DE" w:eastAsia="zh-CN" w:bidi="de-DE"/>
        </w:rPr>
        <w:t xml:space="preserve">Dem POWER REGISTER Plus dienen zwei kleine Quadrate auf beiden Seiten der Bogen als Registermarken. </w:t>
      </w:r>
    </w:p>
    <w:p w14:paraId="6FEE106C" w14:textId="77777777" w:rsidR="00290360" w:rsidRPr="00D20676" w:rsidRDefault="00290360" w:rsidP="00D20676">
      <w:pPr>
        <w:autoSpaceDE w:val="0"/>
        <w:autoSpaceDN w:val="0"/>
        <w:adjustRightInd w:val="0"/>
        <w:spacing w:line="276" w:lineRule="auto"/>
        <w:rPr>
          <w:rFonts w:asciiTheme="minorHAnsi" w:eastAsia="Calibri" w:hAnsiTheme="minorHAnsi" w:cstheme="minorHAnsi"/>
          <w:sz w:val="20"/>
          <w:szCs w:val="20"/>
          <w:lang w:val="de-DE"/>
        </w:rPr>
      </w:pPr>
    </w:p>
    <w:p w14:paraId="570D25D4" w14:textId="77777777" w:rsidR="000E22A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7AE59CD8" w14:textId="77777777" w:rsidR="00276055" w:rsidRDefault="00276055"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19EFDDED" w14:textId="77777777" w:rsidR="00276055" w:rsidRPr="003A2956" w:rsidRDefault="00276055"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lastRenderedPageBreak/>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AC76" w14:textId="77777777" w:rsidR="00244BCE" w:rsidRDefault="00244BCE" w:rsidP="00BB5BE9">
      <w:pPr>
        <w:spacing w:line="240" w:lineRule="auto"/>
      </w:pPr>
      <w:r>
        <w:separator/>
      </w:r>
    </w:p>
  </w:endnote>
  <w:endnote w:type="continuationSeparator" w:id="0">
    <w:p w14:paraId="004FBC90" w14:textId="77777777" w:rsidR="00244BCE" w:rsidRDefault="00244BC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6445" w14:textId="77777777" w:rsidR="00244BCE" w:rsidRDefault="00244BCE" w:rsidP="00BB5BE9">
      <w:pPr>
        <w:spacing w:line="240" w:lineRule="auto"/>
      </w:pPr>
      <w:r>
        <w:separator/>
      </w:r>
    </w:p>
  </w:footnote>
  <w:footnote w:type="continuationSeparator" w:id="0">
    <w:p w14:paraId="4E5F7A6F" w14:textId="77777777" w:rsidR="00244BCE" w:rsidRDefault="00244BC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276055"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276055"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76055"/>
    <w:rsid w:val="00290360"/>
    <w:rsid w:val="002B4F99"/>
    <w:rsid w:val="002D1D0E"/>
    <w:rsid w:val="002D3FFF"/>
    <w:rsid w:val="002E2B93"/>
    <w:rsid w:val="00301715"/>
    <w:rsid w:val="00336DCE"/>
    <w:rsid w:val="00381C2E"/>
    <w:rsid w:val="003A08F8"/>
    <w:rsid w:val="003A2956"/>
    <w:rsid w:val="003A3B66"/>
    <w:rsid w:val="003E3893"/>
    <w:rsid w:val="00406FF5"/>
    <w:rsid w:val="00447A1D"/>
    <w:rsid w:val="004875E8"/>
    <w:rsid w:val="004C2489"/>
    <w:rsid w:val="004F3549"/>
    <w:rsid w:val="004F72A0"/>
    <w:rsid w:val="00500B05"/>
    <w:rsid w:val="00546823"/>
    <w:rsid w:val="005A48B2"/>
    <w:rsid w:val="00602891"/>
    <w:rsid w:val="00622CC3"/>
    <w:rsid w:val="00641834"/>
    <w:rsid w:val="006457F7"/>
    <w:rsid w:val="0064619A"/>
    <w:rsid w:val="00665B00"/>
    <w:rsid w:val="006A45F6"/>
    <w:rsid w:val="0075232B"/>
    <w:rsid w:val="007559E2"/>
    <w:rsid w:val="007606FB"/>
    <w:rsid w:val="007A6BCA"/>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C73E4"/>
    <w:rsid w:val="009E72AA"/>
    <w:rsid w:val="009F1941"/>
    <w:rsid w:val="00A131E9"/>
    <w:rsid w:val="00A15025"/>
    <w:rsid w:val="00A3641F"/>
    <w:rsid w:val="00A6748F"/>
    <w:rsid w:val="00A67AA5"/>
    <w:rsid w:val="00A94A94"/>
    <w:rsid w:val="00A94AEF"/>
    <w:rsid w:val="00AB442C"/>
    <w:rsid w:val="00AB644E"/>
    <w:rsid w:val="00AD7D4C"/>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20676"/>
    <w:rsid w:val="00D35EEE"/>
    <w:rsid w:val="00DB1DC2"/>
    <w:rsid w:val="00DE5DD2"/>
    <w:rsid w:val="00DF1163"/>
    <w:rsid w:val="00DF3647"/>
    <w:rsid w:val="00DF36E8"/>
    <w:rsid w:val="00E316A4"/>
    <w:rsid w:val="00EB7544"/>
    <w:rsid w:val="00EC3F56"/>
    <w:rsid w:val="00EE7E59"/>
    <w:rsid w:val="00F0252B"/>
    <w:rsid w:val="00F03D8B"/>
    <w:rsid w:val="00F36CF1"/>
    <w:rsid w:val="00F7332C"/>
    <w:rsid w:val="00F82164"/>
    <w:rsid w:val="00FB2082"/>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3</TotalTime>
  <Pages>3</Pages>
  <Words>1096</Words>
  <Characters>6253</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2025-01-20T10:31:00Z</dcterms:created>
  <dcterms:modified xsi:type="dcterms:W3CDTF">2025-01-21T15:52:00Z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